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474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489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Timegrp-20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время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работает в должности консультанта в Департаменте образования,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штраф по постановлению </w:t>
      </w:r>
      <w:r>
        <w:rPr>
          <w:rFonts w:ascii="Times New Roman" w:eastAsia="Times New Roman" w:hAnsi="Times New Roman" w:cs="Times New Roman"/>
        </w:rPr>
        <w:t xml:space="preserve">№18810086230000888930 от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оплатил, ввиду тяжелого материального положения. При назначении наказания просил учесть беременность супруги. Инвалидности 1 и 2 группы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18810086230000888930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672149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18810086230000888930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Выписки из ГИС ГМП по состоянию на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</w:t>
      </w:r>
    </w:p>
    <w:p>
      <w:pPr>
        <w:spacing w:before="0" w:after="0"/>
        <w:ind w:firstLine="709"/>
        <w:jc w:val="both"/>
      </w:pP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 против общественного порядка, ранее неоднократно привлекался к административной ответственности по ст.20.25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ответственность обстоятельствами являются признание вины в совершенном правонарушении, беременность супруги,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</w:t>
      </w:r>
      <w:r>
        <w:rPr>
          <w:rFonts w:ascii="Times New Roman" w:eastAsia="Times New Roman" w:hAnsi="Times New Roman" w:cs="Times New Roman"/>
        </w:rPr>
        <w:t xml:space="preserve">ареста на срок 1 </w:t>
      </w:r>
      <w:r>
        <w:rPr>
          <w:rFonts w:ascii="Times New Roman" w:eastAsia="Times New Roman" w:hAnsi="Times New Roman" w:cs="Times New Roman"/>
        </w:rPr>
        <w:t xml:space="preserve">(одни) </w:t>
      </w:r>
      <w:r>
        <w:rPr>
          <w:rFonts w:ascii="Times New Roman" w:eastAsia="Times New Roman" w:hAnsi="Times New Roman" w:cs="Times New Roman"/>
        </w:rPr>
        <w:t>сутки.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</w:t>
      </w:r>
      <w:r>
        <w:rPr>
          <w:rFonts w:ascii="Times New Roman" w:eastAsia="Times New Roman" w:hAnsi="Times New Roman" w:cs="Times New Roman"/>
        </w:rPr>
        <w:t xml:space="preserve">слять с </w:t>
      </w:r>
      <w:r>
        <w:rPr>
          <w:rStyle w:val="cat-Timegrp-20rplc-3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Timegrp-20rplc-34">
    <w:name w:val="cat-Time grp-20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